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4383A" w14:textId="243F2D5A" w:rsidR="005C1E65" w:rsidRDefault="0092078B">
      <w:pPr>
        <w:rPr>
          <w:lang w:val="mk-MK"/>
        </w:rPr>
      </w:pPr>
      <w:r>
        <w:rPr>
          <w:lang w:val="mk-MK"/>
        </w:rPr>
        <w:t>Барање 14-852/1</w:t>
      </w:r>
    </w:p>
    <w:p w14:paraId="1C4A630A" w14:textId="77777777" w:rsidR="0092078B" w:rsidRPr="0092078B" w:rsidRDefault="0092078B" w:rsidP="0092078B">
      <w:pPr>
        <w:rPr>
          <w:lang w:val="mk-MK"/>
        </w:rPr>
      </w:pPr>
      <w:r w:rsidRPr="0092078B">
        <w:rPr>
          <w:lang w:val="mk-MK"/>
        </w:rPr>
        <w:t>1.</w:t>
      </w:r>
      <w:r w:rsidRPr="0092078B">
        <w:rPr>
          <w:lang w:val="mk-MK"/>
        </w:rPr>
        <w:tab/>
        <w:t xml:space="preserve">Како функционира Проектот за подобрување на социјалните услуги кои се неговите цели и дали се исполнети истите? </w:t>
      </w:r>
    </w:p>
    <w:p w14:paraId="6CC626E2" w14:textId="77777777" w:rsidR="0092078B" w:rsidRPr="0092078B" w:rsidRDefault="0092078B" w:rsidP="0092078B">
      <w:pPr>
        <w:rPr>
          <w:lang w:val="mk-MK"/>
        </w:rPr>
      </w:pPr>
      <w:r w:rsidRPr="0092078B">
        <w:rPr>
          <w:lang w:val="mk-MK"/>
        </w:rPr>
        <w:t>2.</w:t>
      </w:r>
      <w:r w:rsidRPr="0092078B">
        <w:rPr>
          <w:lang w:val="mk-MK"/>
        </w:rPr>
        <w:tab/>
        <w:t>Дали во рамки на овој Проект, за спроведување на истиот се делат плати и во колкави размери се движи износот на истите?</w:t>
      </w:r>
    </w:p>
    <w:p w14:paraId="26BB97DC" w14:textId="7B927FA2" w:rsidR="0092078B" w:rsidRDefault="0092078B" w:rsidP="0092078B">
      <w:pPr>
        <w:rPr>
          <w:lang w:val="mk-MK"/>
        </w:rPr>
      </w:pPr>
      <w:r w:rsidRPr="0092078B">
        <w:rPr>
          <w:lang w:val="mk-MK"/>
        </w:rPr>
        <w:t>3.</w:t>
      </w:r>
      <w:r w:rsidRPr="0092078B">
        <w:rPr>
          <w:lang w:val="mk-MK"/>
        </w:rPr>
        <w:tab/>
        <w:t xml:space="preserve">Која е улогата на лицата Елизабета Куновска и Шевал </w:t>
      </w:r>
      <w:proofErr w:type="spellStart"/>
      <w:r w:rsidRPr="0092078B">
        <w:rPr>
          <w:lang w:val="mk-MK"/>
        </w:rPr>
        <w:t>Нуредин</w:t>
      </w:r>
      <w:proofErr w:type="spellEnd"/>
      <w:r w:rsidRPr="0092078B">
        <w:rPr>
          <w:lang w:val="mk-MK"/>
        </w:rPr>
        <w:t xml:space="preserve"> во овој Проекти и колкави плати односно надоместоци земаат (доколку земаат) за истиот?</w:t>
      </w:r>
    </w:p>
    <w:p w14:paraId="76A2C6F1" w14:textId="77777777" w:rsidR="0092078B" w:rsidRPr="00CA56C0" w:rsidRDefault="0092078B" w:rsidP="0092078B">
      <w:pPr>
        <w:pStyle w:val="Normal1"/>
        <w:suppressAutoHyphens w:val="0"/>
        <w:snapToGrid w:val="0"/>
        <w:spacing w:after="0" w:line="240" w:lineRule="auto"/>
        <w:ind w:left="123"/>
        <w:jc w:val="both"/>
        <w:rPr>
          <w:rFonts w:ascii="StobiSerif Regular" w:eastAsia="StobiSerif Regular" w:hAnsi="StobiSerif Regular" w:cs="StobiSerif Regular"/>
          <w:b/>
          <w:bCs/>
          <w:color w:val="auto"/>
          <w:sz w:val="22"/>
          <w:szCs w:val="22"/>
          <w:u w:val="single"/>
        </w:rPr>
      </w:pPr>
      <w:r w:rsidRPr="00CA56C0">
        <w:rPr>
          <w:rFonts w:ascii="StobiSerif Regular" w:eastAsia="StobiSerif Regular" w:hAnsi="StobiSerif Regular" w:cs="StobiSerif Regular"/>
          <w:b/>
          <w:bCs/>
          <w:color w:val="auto"/>
          <w:sz w:val="22"/>
          <w:szCs w:val="22"/>
          <w:u w:val="single"/>
        </w:rPr>
        <w:t>I. ПРОЕКТ ЗА УНАПРЕДУВАЊЕ НА СОЦИЈАЛНИТЕ УСЛУГИ</w:t>
      </w:r>
    </w:p>
    <w:p w14:paraId="5DB706CE" w14:textId="77777777" w:rsidR="0092078B" w:rsidRPr="00CA56C0" w:rsidRDefault="0092078B" w:rsidP="0092078B">
      <w:pPr>
        <w:pStyle w:val="Normal1"/>
        <w:suppressAutoHyphens w:val="0"/>
        <w:snapToGrid w:val="0"/>
        <w:spacing w:after="0" w:line="240" w:lineRule="auto"/>
        <w:ind w:left="123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</w:p>
    <w:p w14:paraId="518D0565" w14:textId="77777777" w:rsidR="0092078B" w:rsidRPr="00CA56C0" w:rsidRDefault="0092078B" w:rsidP="0092078B">
      <w:pPr>
        <w:rPr>
          <w:rFonts w:ascii="StobiSerif Regular" w:hAnsi="StobiSerif Regular"/>
        </w:rPr>
      </w:pPr>
      <w:proofErr w:type="spellStart"/>
      <w:r w:rsidRPr="00CA56C0">
        <w:rPr>
          <w:rFonts w:ascii="StobiSerif Regular" w:hAnsi="StobiSerif Regular"/>
        </w:rPr>
        <w:t>Проектот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има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за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цел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да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го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подобри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пристапот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до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услугите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за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згрижување</w:t>
      </w:r>
      <w:proofErr w:type="spellEnd"/>
      <w:r w:rsidRPr="00CA56C0">
        <w:rPr>
          <w:rFonts w:ascii="StobiSerif Regular" w:hAnsi="StobiSerif Regular"/>
        </w:rPr>
        <w:t xml:space="preserve"> и </w:t>
      </w:r>
      <w:proofErr w:type="spellStart"/>
      <w:r w:rsidRPr="00CA56C0">
        <w:rPr>
          <w:rFonts w:ascii="StobiSerif Regular" w:hAnsi="StobiSerif Regular"/>
        </w:rPr>
        <w:t>воспитание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на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деца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од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предучилишна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возраст</w:t>
      </w:r>
      <w:proofErr w:type="spellEnd"/>
      <w:r w:rsidRPr="00CA56C0">
        <w:rPr>
          <w:rFonts w:ascii="StobiSerif Regular" w:hAnsi="StobiSerif Regular"/>
        </w:rPr>
        <w:t xml:space="preserve"> и </w:t>
      </w:r>
      <w:proofErr w:type="spellStart"/>
      <w:r w:rsidRPr="00CA56C0">
        <w:rPr>
          <w:rFonts w:ascii="StobiSerif Regular" w:hAnsi="StobiSerif Regular"/>
        </w:rPr>
        <w:t>пристапот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до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социјални</w:t>
      </w:r>
      <w:proofErr w:type="spellEnd"/>
      <w:r w:rsidRPr="00CA56C0">
        <w:rPr>
          <w:rFonts w:ascii="StobiSerif Regular" w:hAnsi="StobiSerif Regular"/>
        </w:rPr>
        <w:t xml:space="preserve"> </w:t>
      </w:r>
      <w:proofErr w:type="spellStart"/>
      <w:r w:rsidRPr="00CA56C0">
        <w:rPr>
          <w:rFonts w:ascii="StobiSerif Regular" w:hAnsi="StobiSerif Regular"/>
        </w:rPr>
        <w:t>надоместоци</w:t>
      </w:r>
      <w:proofErr w:type="spellEnd"/>
      <w:r w:rsidRPr="00CA56C0">
        <w:rPr>
          <w:rFonts w:ascii="StobiSerif Regular" w:hAnsi="StobiSerif Regular"/>
        </w:rPr>
        <w:t xml:space="preserve"> и </w:t>
      </w:r>
      <w:proofErr w:type="spellStart"/>
      <w:r w:rsidRPr="00CA56C0">
        <w:rPr>
          <w:rFonts w:ascii="StobiSerif Regular" w:hAnsi="StobiSerif Regular"/>
        </w:rPr>
        <w:t>услуги</w:t>
      </w:r>
      <w:proofErr w:type="spellEnd"/>
    </w:p>
    <w:p w14:paraId="2A14D77F" w14:textId="77777777" w:rsidR="0092078B" w:rsidRPr="00CA56C0" w:rsidRDefault="0092078B" w:rsidP="0092078B">
      <w:pPr>
        <w:pStyle w:val="Normal1"/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Проектот опфаќа три компоненти, кои вклучуваат активности насочени кон:</w:t>
      </w:r>
    </w:p>
    <w:p w14:paraId="7C9BFAE0" w14:textId="77777777" w:rsidR="0092078B" w:rsidRPr="00CA56C0" w:rsidRDefault="0092078B" w:rsidP="0092078B">
      <w:pPr>
        <w:pStyle w:val="Normal1"/>
        <w:numPr>
          <w:ilvl w:val="0"/>
          <w:numId w:val="1"/>
        </w:numPr>
        <w:suppressAutoHyphens w:val="0"/>
        <w:snapToGrid w:val="0"/>
        <w:spacing w:after="0" w:line="240" w:lineRule="auto"/>
        <w:ind w:left="332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развој на политики за поставување на сеопфатен систем на социјални услуги и системско спроведување на реформираните услуги преку проширена мрежа на даватели на социјални услуги;</w:t>
      </w:r>
    </w:p>
    <w:p w14:paraId="06F4581E" w14:textId="77777777" w:rsidR="0092078B" w:rsidRPr="00CA56C0" w:rsidRDefault="0092078B" w:rsidP="0092078B">
      <w:pPr>
        <w:pStyle w:val="Normal1"/>
        <w:numPr>
          <w:ilvl w:val="0"/>
          <w:numId w:val="1"/>
        </w:numPr>
        <w:suppressAutoHyphens w:val="0"/>
        <w:snapToGrid w:val="0"/>
        <w:spacing w:after="0" w:line="240" w:lineRule="auto"/>
        <w:ind w:left="332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воведување на интегриран информатички систем за администрирање на права и услуги, техничка помош и обуки за поддршка и зајакнување на капацитетот за креирање на политики базирани на податоци;</w:t>
      </w:r>
    </w:p>
    <w:p w14:paraId="66E52A5F" w14:textId="77777777" w:rsidR="0092078B" w:rsidRPr="00CA56C0" w:rsidRDefault="0092078B" w:rsidP="0092078B">
      <w:pPr>
        <w:pStyle w:val="Normal1"/>
        <w:numPr>
          <w:ilvl w:val="0"/>
          <w:numId w:val="1"/>
        </w:numPr>
        <w:suppressAutoHyphens w:val="0"/>
        <w:snapToGrid w:val="0"/>
        <w:spacing w:after="0" w:line="240" w:lineRule="auto"/>
        <w:ind w:left="332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 xml:space="preserve">проширување на капацитетите за предучилишно згрижување и воспитание преку изградба на нови објекти и пренамена (или надградба) на </w:t>
      </w:r>
      <w:proofErr w:type="spellStart"/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постоечката</w:t>
      </w:r>
      <w:proofErr w:type="spellEnd"/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 xml:space="preserve"> инфраструктура ;</w:t>
      </w:r>
    </w:p>
    <w:p w14:paraId="0097768D" w14:textId="77777777" w:rsidR="0092078B" w:rsidRPr="00CA56C0" w:rsidRDefault="0092078B" w:rsidP="0092078B">
      <w:pPr>
        <w:pStyle w:val="Normal1"/>
        <w:numPr>
          <w:ilvl w:val="0"/>
          <w:numId w:val="1"/>
        </w:numPr>
        <w:suppressAutoHyphens w:val="0"/>
        <w:snapToGrid w:val="0"/>
        <w:spacing w:after="0" w:line="240" w:lineRule="auto"/>
        <w:ind w:left="332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подобрување на квалитетот на предучилишните услуги преку:</w:t>
      </w:r>
    </w:p>
    <w:p w14:paraId="4DABB240" w14:textId="77777777" w:rsidR="0092078B" w:rsidRPr="00CA56C0" w:rsidRDefault="0092078B" w:rsidP="0092078B">
      <w:pPr>
        <w:pStyle w:val="Normal1"/>
        <w:numPr>
          <w:ilvl w:val="1"/>
          <w:numId w:val="1"/>
        </w:numPr>
        <w:suppressAutoHyphens w:val="0"/>
        <w:snapToGrid w:val="0"/>
        <w:spacing w:after="0" w:line="240" w:lineRule="auto"/>
        <w:ind w:left="630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спроведување насочени обуки, наменети за кадарот во предучилишните установи,</w:t>
      </w:r>
    </w:p>
    <w:p w14:paraId="4EE20F7A" w14:textId="77777777" w:rsidR="0092078B" w:rsidRPr="00CA56C0" w:rsidRDefault="0092078B" w:rsidP="0092078B">
      <w:pPr>
        <w:pStyle w:val="Normal1"/>
        <w:numPr>
          <w:ilvl w:val="1"/>
          <w:numId w:val="1"/>
        </w:numPr>
        <w:suppressAutoHyphens w:val="0"/>
        <w:snapToGrid w:val="0"/>
        <w:spacing w:after="0" w:line="240" w:lineRule="auto"/>
        <w:ind w:left="630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воведување систем за мерење на постигнувањата на децата, како и квалитетот на околината за учење на децата од 3-6 години,</w:t>
      </w:r>
    </w:p>
    <w:p w14:paraId="51789289" w14:textId="77777777" w:rsidR="0092078B" w:rsidRPr="00CA56C0" w:rsidRDefault="0092078B" w:rsidP="0092078B">
      <w:pPr>
        <w:pStyle w:val="Normal1"/>
        <w:numPr>
          <w:ilvl w:val="1"/>
          <w:numId w:val="1"/>
        </w:numPr>
        <w:suppressAutoHyphens w:val="0"/>
        <w:snapToGrid w:val="0"/>
        <w:spacing w:after="0" w:line="240" w:lineRule="auto"/>
        <w:ind w:left="630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 xml:space="preserve">унифицирање на програмата за иницијално образование во петте високообразовни установи со основна цел за подобрување на квалитетот </w:t>
      </w:r>
    </w:p>
    <w:p w14:paraId="199A7C18" w14:textId="77777777" w:rsidR="0092078B" w:rsidRPr="00CA56C0" w:rsidRDefault="0092078B" w:rsidP="0092078B">
      <w:pPr>
        <w:pStyle w:val="Normal1"/>
        <w:tabs>
          <w:tab w:val="left" w:pos="5625"/>
        </w:tabs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</w:p>
    <w:p w14:paraId="569774E4" w14:textId="77777777" w:rsidR="0092078B" w:rsidRPr="00CA56C0" w:rsidRDefault="0092078B" w:rsidP="0092078B">
      <w:pPr>
        <w:pStyle w:val="Normal1"/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/>
          <w:bCs/>
          <w:color w:val="auto"/>
          <w:sz w:val="22"/>
          <w:szCs w:val="22"/>
        </w:rPr>
        <w:t>1. Грантови за развој на социјални услуги:</w:t>
      </w:r>
    </w:p>
    <w:p w14:paraId="0B6C364F" w14:textId="77777777" w:rsidR="0092078B" w:rsidRPr="00CA56C0" w:rsidRDefault="0092078B" w:rsidP="0092078B">
      <w:pPr>
        <w:pStyle w:val="Normal1"/>
        <w:tabs>
          <w:tab w:val="left" w:pos="5625"/>
        </w:tabs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</w:p>
    <w:p w14:paraId="516C2241" w14:textId="77777777" w:rsidR="0092078B" w:rsidRPr="00CA56C0" w:rsidRDefault="0092078B" w:rsidP="0092078B">
      <w:pPr>
        <w:pStyle w:val="Normal1"/>
        <w:tabs>
          <w:tab w:val="left" w:pos="5625"/>
        </w:tabs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 xml:space="preserve">Досега се реализирани два отворени повици за развој на социјални услуги на локално ниво. Во рамките на првиот (2019) и вториот повик (2022), потпишани се: 34 договори за грант за развој на социјални услуги. Во рамките на потпишаните договори за грант  33 организации се здобија со лиценца, а 1 организација е во фаза на лиценцирање. Од лиценцираните, 28 успешно ја завршија реализацијата на проектот во рамки на договорот за грант и преминаа во централно финансирање со буџетски средства со склучување на управи договори. </w:t>
      </w:r>
    </w:p>
    <w:p w14:paraId="3C6B023D" w14:textId="77777777" w:rsidR="0092078B" w:rsidRPr="00CA56C0" w:rsidRDefault="0092078B" w:rsidP="0092078B">
      <w:pPr>
        <w:pStyle w:val="Normal1"/>
        <w:tabs>
          <w:tab w:val="left" w:pos="5625"/>
        </w:tabs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</w:p>
    <w:p w14:paraId="7041A3D7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Од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30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развиени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услуги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кои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активно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даваат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моментот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,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заклучно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ноември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2024,</w:t>
      </w:r>
    </w:p>
    <w:p w14:paraId="21376C76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најмногу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услуги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помош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и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нега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домот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, а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останатите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дневни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центри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лица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попреченост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и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дневни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центри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стари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лица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активно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стареење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.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Поточно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:  </w:t>
      </w:r>
    </w:p>
    <w:p w14:paraId="6648C05C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</w:p>
    <w:p w14:paraId="10086CEE" w14:textId="77777777" w:rsidR="0092078B" w:rsidRPr="00CA56C0" w:rsidRDefault="0092078B" w:rsidP="0092078B">
      <w:pPr>
        <w:pStyle w:val="ListParagraph"/>
        <w:widowControl w:val="0"/>
        <w:numPr>
          <w:ilvl w:val="0"/>
          <w:numId w:val="2"/>
        </w:numPr>
        <w:spacing w:after="0"/>
        <w:ind w:left="422"/>
        <w:contextualSpacing w:val="0"/>
        <w:rPr>
          <w:rFonts w:ascii="StobiSerif Regular" w:eastAsia="StobiSerif Regular" w:hAnsi="StobiSerif Regular" w:cs="StobiSerif Regular"/>
          <w:bCs/>
        </w:rPr>
      </w:pPr>
      <w:r w:rsidRPr="00CA56C0">
        <w:rPr>
          <w:rFonts w:ascii="StobiSerif Regular" w:eastAsia="StobiSerif Regular" w:hAnsi="StobiSerif Regular" w:cs="StobiSerif Regular"/>
          <w:bCs/>
        </w:rPr>
        <w:t>21 услуга за помош и нега во домот (се даваат во 30 општини, 11 рурални, 19 урбани)</w:t>
      </w:r>
    </w:p>
    <w:p w14:paraId="2E47A254" w14:textId="77777777" w:rsidR="0092078B" w:rsidRPr="00CA56C0" w:rsidRDefault="0092078B" w:rsidP="0092078B">
      <w:pPr>
        <w:pStyle w:val="ListParagraph"/>
        <w:widowControl w:val="0"/>
        <w:numPr>
          <w:ilvl w:val="0"/>
          <w:numId w:val="2"/>
        </w:numPr>
        <w:spacing w:after="0"/>
        <w:ind w:left="422"/>
        <w:contextualSpacing w:val="0"/>
        <w:rPr>
          <w:rFonts w:ascii="StobiSerif Regular" w:eastAsia="StobiSerif Regular" w:hAnsi="StobiSerif Regular" w:cs="StobiSerif Regular"/>
          <w:bCs/>
        </w:rPr>
      </w:pPr>
      <w:r w:rsidRPr="00CA56C0">
        <w:rPr>
          <w:rFonts w:ascii="StobiSerif Regular" w:eastAsia="StobiSerif Regular" w:hAnsi="StobiSerif Regular" w:cs="StobiSerif Regular"/>
          <w:bCs/>
        </w:rPr>
        <w:t>1 услуга за лична асистенција</w:t>
      </w:r>
    </w:p>
    <w:p w14:paraId="0D2B4F61" w14:textId="77777777" w:rsidR="0092078B" w:rsidRPr="00CA56C0" w:rsidRDefault="0092078B" w:rsidP="0092078B">
      <w:pPr>
        <w:pStyle w:val="ListParagraph"/>
        <w:widowControl w:val="0"/>
        <w:numPr>
          <w:ilvl w:val="0"/>
          <w:numId w:val="2"/>
        </w:numPr>
        <w:spacing w:after="0"/>
        <w:ind w:left="422"/>
        <w:contextualSpacing w:val="0"/>
        <w:rPr>
          <w:rFonts w:ascii="StobiSerif Regular" w:eastAsia="StobiSerif Regular" w:hAnsi="StobiSerif Regular" w:cs="StobiSerif Regular"/>
          <w:bCs/>
        </w:rPr>
      </w:pPr>
      <w:r w:rsidRPr="00CA56C0">
        <w:rPr>
          <w:rFonts w:ascii="StobiSerif Regular" w:eastAsia="StobiSerif Regular" w:hAnsi="StobiSerif Regular" w:cs="StobiSerif Regular"/>
          <w:bCs/>
        </w:rPr>
        <w:lastRenderedPageBreak/>
        <w:t xml:space="preserve">4 дневни центри за стари лица со активно стареење </w:t>
      </w:r>
    </w:p>
    <w:p w14:paraId="5190EE11" w14:textId="77777777" w:rsidR="0092078B" w:rsidRPr="00CA56C0" w:rsidRDefault="0092078B" w:rsidP="0092078B">
      <w:pPr>
        <w:pStyle w:val="ListParagraph"/>
        <w:widowControl w:val="0"/>
        <w:numPr>
          <w:ilvl w:val="0"/>
          <w:numId w:val="2"/>
        </w:numPr>
        <w:spacing w:after="0"/>
        <w:ind w:left="422"/>
        <w:contextualSpacing w:val="0"/>
        <w:rPr>
          <w:rFonts w:ascii="StobiSerif Regular" w:eastAsia="StobiSerif Regular" w:hAnsi="StobiSerif Regular" w:cs="StobiSerif Regular"/>
          <w:bCs/>
        </w:rPr>
      </w:pPr>
      <w:r w:rsidRPr="00CA56C0">
        <w:rPr>
          <w:rFonts w:ascii="StobiSerif Regular" w:eastAsia="StobiSerif Regular" w:hAnsi="StobiSerif Regular" w:cs="StobiSerif Regular"/>
          <w:bCs/>
        </w:rPr>
        <w:t xml:space="preserve">3 дневни центри за деца со попреченост (1 само со индивидуален третман, 2 со дневен престој и индивидуален третман). Уште два (2) дневни центри од овој вид треба да почнат со работа. </w:t>
      </w:r>
    </w:p>
    <w:p w14:paraId="4009D3FF" w14:textId="77777777" w:rsidR="0092078B" w:rsidRPr="00CA56C0" w:rsidRDefault="0092078B" w:rsidP="0092078B">
      <w:pPr>
        <w:pStyle w:val="ListParagraph"/>
        <w:widowControl w:val="0"/>
        <w:numPr>
          <w:ilvl w:val="0"/>
          <w:numId w:val="2"/>
        </w:numPr>
        <w:ind w:left="422"/>
        <w:contextualSpacing w:val="0"/>
        <w:rPr>
          <w:rFonts w:ascii="StobiSerif Regular" w:eastAsia="StobiSerif Regular" w:hAnsi="StobiSerif Regular" w:cs="StobiSerif Regular"/>
          <w:bCs/>
        </w:rPr>
      </w:pPr>
      <w:r w:rsidRPr="00CA56C0">
        <w:rPr>
          <w:rFonts w:ascii="StobiSerif Regular" w:eastAsia="StobiSerif Regular" w:hAnsi="StobiSerif Regular" w:cs="StobiSerif Regular"/>
          <w:bCs/>
        </w:rPr>
        <w:t xml:space="preserve">1 дневен центар рехабилитација и реинтеграција на лица со попреченост </w:t>
      </w:r>
    </w:p>
    <w:p w14:paraId="5416C4F6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088EFDB8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70A821FB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7D2C857A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30099DB8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7BF4742E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6C1A0ED5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3EB7E09D" w14:textId="2B2F666D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  <w:r w:rsidRPr="00CA56C0">
        <w:rPr>
          <w:rFonts w:ascii="StobiSerif Regular" w:eastAsia="StobiSerif Regular" w:hAnsi="StobiSerif Regular" w:cs="StobiSerif Regular"/>
          <w:bCs/>
          <w:noProof/>
        </w:rPr>
        <w:drawing>
          <wp:anchor distT="0" distB="0" distL="114300" distR="114300" simplePos="0" relativeHeight="251659264" behindDoc="0" locked="1" layoutInCell="1" allowOverlap="0" wp14:anchorId="650EAB26" wp14:editId="5D233830">
            <wp:simplePos x="0" y="0"/>
            <wp:positionH relativeFrom="margin">
              <wp:posOffset>3667125</wp:posOffset>
            </wp:positionH>
            <wp:positionV relativeFrom="margin">
              <wp:posOffset>219075</wp:posOffset>
            </wp:positionV>
            <wp:extent cx="2295525" cy="1816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0BBC8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7BA0ABD6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5DED3C2F" w14:textId="1E64B4C4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  <w:r w:rsidRPr="00CA56C0">
        <w:rPr>
          <w:rFonts w:ascii="StobiSerif Regular" w:eastAsia="StobiSerif Regular" w:hAnsi="StobiSerif Regular" w:cs="StobiSerif Regular"/>
          <w:bCs/>
          <w:noProof/>
        </w:rPr>
        <w:drawing>
          <wp:anchor distT="0" distB="0" distL="114300" distR="114300" simplePos="0" relativeHeight="251660288" behindDoc="0" locked="1" layoutInCell="1" allowOverlap="0" wp14:anchorId="7EC8C10B" wp14:editId="333F4C73">
            <wp:simplePos x="0" y="0"/>
            <wp:positionH relativeFrom="margin">
              <wp:posOffset>-635</wp:posOffset>
            </wp:positionH>
            <wp:positionV relativeFrom="margin">
              <wp:posOffset>222250</wp:posOffset>
            </wp:positionV>
            <wp:extent cx="2572385" cy="1866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AB242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0E05905B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067FA8A3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6A7523D1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2AEC0861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3C0A49F4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71C3F1E0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05230F39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</w:p>
    <w:p w14:paraId="2D0BA01A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  <w:proofErr w:type="spellStart"/>
      <w:r w:rsidRPr="00CA56C0">
        <w:rPr>
          <w:rFonts w:ascii="StobiSerif Regular" w:eastAsia="StobiSerif Regular" w:hAnsi="StobiSerif Regular" w:cs="StobiSerif Regular"/>
          <w:bCs/>
        </w:rPr>
        <w:lastRenderedPageBreak/>
        <w:t>Давателите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услуги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кои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развиени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рамки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ППСУ,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времетраење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Договорите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грант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(12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месеци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)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имаат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опфатено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1.648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корисници</w:t>
      </w:r>
      <w:proofErr w:type="spellEnd"/>
      <w:r w:rsidRPr="00CA56C0">
        <w:rPr>
          <w:rFonts w:ascii="StobiSerif Regular" w:eastAsia="StobiSerif Regular" w:hAnsi="StobiSerif Regular" w:cs="StobiSerif Regular"/>
          <w:b/>
          <w:bCs/>
        </w:rPr>
        <w:t xml:space="preserve">,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заклучно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октомври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2024.</w:t>
      </w:r>
    </w:p>
    <w:p w14:paraId="3209C73C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периодот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од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/>
          <w:bCs/>
        </w:rPr>
        <w:t>јануари-јуни</w:t>
      </w:r>
      <w:proofErr w:type="spellEnd"/>
      <w:r w:rsidRPr="00CA56C0">
        <w:rPr>
          <w:rFonts w:ascii="StobiSerif Regular" w:eastAsia="StobiSerif Regular" w:hAnsi="StobiSerif Regular" w:cs="StobiSerif Regular"/>
          <w:b/>
          <w:bCs/>
        </w:rPr>
        <w:t xml:space="preserve"> 2024,</w:t>
      </w:r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r w:rsidRPr="00CA56C0">
        <w:rPr>
          <w:rFonts w:ascii="StobiSerif Regular" w:eastAsia="StobiSerif Regular" w:hAnsi="StobiSerif Regular" w:cs="StobiSerif Regular"/>
          <w:b/>
          <w:bCs/>
        </w:rPr>
        <w:t>4.300</w:t>
      </w:r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лица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proofErr w:type="gramStart"/>
      <w:r w:rsidRPr="00CA56C0">
        <w:rPr>
          <w:rFonts w:ascii="StobiSerif Regular" w:eastAsia="StobiSerif Regular" w:hAnsi="StobiSerif Regular" w:cs="StobiSerif Regular"/>
          <w:bCs/>
        </w:rPr>
        <w:t>се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корисници</w:t>
      </w:r>
      <w:proofErr w:type="spellEnd"/>
      <w:proofErr w:type="gram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резиденцијални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услуги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од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лиценцирани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даватели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.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Бројот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ангажирани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негуватели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заклучно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јуни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2024 е </w:t>
      </w:r>
      <w:r w:rsidRPr="00CA56C0">
        <w:rPr>
          <w:rFonts w:ascii="StobiSerif Regular" w:eastAsia="StobiSerif Regular" w:hAnsi="StobiSerif Regular" w:cs="StobiSerif Regular"/>
          <w:b/>
          <w:bCs/>
        </w:rPr>
        <w:t>752</w:t>
      </w:r>
      <w:r w:rsidRPr="00CA56C0">
        <w:rPr>
          <w:rFonts w:ascii="StobiSerif Regular" w:eastAsia="StobiSerif Regular" w:hAnsi="StobiSerif Regular" w:cs="StobiSerif Regular"/>
          <w:bCs/>
        </w:rPr>
        <w:t>.</w:t>
      </w:r>
    </w:p>
    <w:p w14:paraId="3C2D0EB5" w14:textId="77777777" w:rsidR="0092078B" w:rsidRPr="00CA56C0" w:rsidRDefault="0092078B" w:rsidP="0092078B">
      <w:pPr>
        <w:pStyle w:val="Normal1"/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/>
          <w:bCs/>
          <w:color w:val="auto"/>
          <w:sz w:val="22"/>
          <w:szCs w:val="22"/>
        </w:rPr>
        <w:t xml:space="preserve">2. Развој на информативен систем за администрирање на паричните надоместоци и на социјалните услуги </w:t>
      </w:r>
    </w:p>
    <w:p w14:paraId="2799FB4A" w14:textId="77777777" w:rsidR="0092078B" w:rsidRPr="00CA56C0" w:rsidRDefault="0092078B" w:rsidP="0092078B">
      <w:pPr>
        <w:pStyle w:val="Normal1"/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Новиот информациски систем го  интегрира  администрирањето на паричните права, социјалните услуги и јавни овластувања.  Информацискиот систем е во завршна развојна фаза. За модулите поврзани со парични права изработени се упатства за користење на софтверот и според нив извршена е обука на вработените кои ќе бидат корисници на системот. Системот е тестиран од корисниците на системот за парични давања. Во следниот период е планирана обука на вработените за модулите за социјални услуги и јавни овластувања и нивно тестирање пред да се стартува апликацијата во продукција.</w:t>
      </w:r>
    </w:p>
    <w:p w14:paraId="594A0EF0" w14:textId="77777777" w:rsidR="0092078B" w:rsidRPr="00CA56C0" w:rsidRDefault="0092078B" w:rsidP="0092078B">
      <w:pPr>
        <w:pStyle w:val="Normal1"/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3. Пилотирање на програма за активација на ранливи групи на пазарот на трудот е активност која ќе започне интензивно</w:t>
      </w:r>
      <w:r w:rsidRPr="00CA56C0" w:rsidDel="00373367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 xml:space="preserve"> </w:t>
      </w: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 xml:space="preserve">да се спроведува во следниот период. Искуствата и знаењето ќе биде основа за  планирање на програма за активација во поголем обем. Оваа активност  е тесно поврзана со  подобрувањето на законската регулатива во насока на поттикнување и поддршка за вработување на социјално ранливите лица,  и на ограничување на можноста за злоупотреби на социјалниот систем.  </w:t>
      </w:r>
    </w:p>
    <w:p w14:paraId="092BEADA" w14:textId="77777777" w:rsidR="0092078B" w:rsidRPr="00CA56C0" w:rsidRDefault="0092078B" w:rsidP="0092078B">
      <w:pPr>
        <w:pStyle w:val="Normal1"/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4. Грантови за креирање на нови места во установите за згрижување и воспитание на деца преку изградба на нови објекти како и преку проширување, надградба, адаптација на постоечки објекти.</w:t>
      </w:r>
    </w:p>
    <w:p w14:paraId="74DD629E" w14:textId="77777777" w:rsidR="0092078B" w:rsidRPr="00CA56C0" w:rsidRDefault="0092078B" w:rsidP="0092078B">
      <w:pPr>
        <w:pStyle w:val="Normal1"/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Врз основа на Првиот јавен повик во 2019 година, МСПДМ склучи договори со 16 од 17 избрани општини. Врз основа на потпишаните договори за грант, се започнаа постапки за набавки и потпишани се договори за градба со 16 избрани изведувачи. Во 15 општини се завршени градежните активности и новите простории се опремени.</w:t>
      </w:r>
    </w:p>
    <w:p w14:paraId="6C1D34CB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јануари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2024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година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е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објавен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Втор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повик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доделување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грант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проширување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капацитетите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установи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згрижување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и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воспитание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деца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од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предучилишна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возраст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.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Рокот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достава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апликации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беше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15.05.2024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година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.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Евалуацијата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е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завршена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и 13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апликации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од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доставени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15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избрани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финансирање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>.</w:t>
      </w:r>
    </w:p>
    <w:p w14:paraId="377F3114" w14:textId="77777777" w:rsidR="0092078B" w:rsidRPr="00CA56C0" w:rsidRDefault="0092078B" w:rsidP="0092078B">
      <w:pPr>
        <w:pStyle w:val="Normal1"/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5. Мерење на раниот детски развој и постигнувања (ΜΕLQO).</w:t>
      </w:r>
    </w:p>
    <w:p w14:paraId="258AA44F" w14:textId="77777777" w:rsidR="0092078B" w:rsidRPr="00CA56C0" w:rsidRDefault="0092078B" w:rsidP="0092078B">
      <w:pPr>
        <w:pStyle w:val="Normal1"/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 xml:space="preserve">Реализирано е основно и последователно мерење на раниот детски развој и постигнувања на национално ниво, за прв пат во државата во таков обем. Добиени се  податоци за подготвеност на децата од 3-6 години за основно училиште, како и за квалитетот на процесите кои се воспоставени во градинките и делумно во домот на децата. Мерењето е правено во два круга во периодот од 2021-2023. Како продолжение на активноста ќе се работи на системско вклучување на овој меѓународен мерен инструмент со цел да се постигнат подобри предучилишни услуги и ран детски развој.  </w:t>
      </w:r>
    </w:p>
    <w:p w14:paraId="52CE2E95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  <w:r w:rsidRPr="00CA56C0">
        <w:rPr>
          <w:rFonts w:ascii="StobiSerif Regular" w:eastAsia="StobiSerif Regular" w:hAnsi="StobiSerif Regular" w:cs="StobiSerif Regular"/>
          <w:bCs/>
        </w:rPr>
        <w:t xml:space="preserve">6.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Подготвена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е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предлог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унифицирана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програмата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иницијално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образование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и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воспоставено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е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координативно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тело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(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претставници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од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сите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педагошки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факултети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земјата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)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цел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усогласување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факултетите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делот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основните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предмети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програмата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,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минимум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обврзувачки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часови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стручна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пракса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време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студии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,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како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и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излезниот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стручен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профил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студиската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програма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.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Овој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процес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продолжува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,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тоа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што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Филозофскиот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факултет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најголем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дел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ја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има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имплементирано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предлог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програмата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и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ја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има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акредитирано</w:t>
      </w:r>
      <w:proofErr w:type="spellEnd"/>
    </w:p>
    <w:p w14:paraId="4ADDF9B2" w14:textId="77777777" w:rsidR="0092078B" w:rsidRPr="00CA56C0" w:rsidRDefault="0092078B" w:rsidP="0092078B">
      <w:pPr>
        <w:pStyle w:val="Normal1"/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7. Обука на воспитувачи и стручни кадри во сите јавни предучилишни установи</w:t>
      </w:r>
    </w:p>
    <w:p w14:paraId="40C10D43" w14:textId="77777777" w:rsidR="0092078B" w:rsidRPr="00CA56C0" w:rsidRDefault="0092078B" w:rsidP="0092078B">
      <w:pPr>
        <w:rPr>
          <w:rFonts w:ascii="StobiSerif Regular" w:eastAsia="StobiSerif Regular" w:hAnsi="StobiSerif Regular" w:cs="StobiSerif Regular"/>
          <w:bCs/>
        </w:rPr>
      </w:pPr>
      <w:proofErr w:type="spellStart"/>
      <w:r w:rsidRPr="00CA56C0">
        <w:rPr>
          <w:rFonts w:ascii="StobiSerif Regular" w:eastAsia="StobiSerif Regular" w:hAnsi="StobiSerif Regular" w:cs="StobiSerif Regular"/>
          <w:bCs/>
        </w:rPr>
        <w:lastRenderedPageBreak/>
        <w:t>Досега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реализирани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два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модули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обуки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кои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беа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опфатени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сите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воспитувачи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и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стручни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кадри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јавните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предучилишни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установи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(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околу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1500).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Првиот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модул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однесуваше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методологијата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работа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деца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преку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“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Конструктивизам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,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решавање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проблеми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и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учење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преку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игра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”,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цел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постигнување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најдобар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социо-емоционален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развој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кај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децата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.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Модулот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“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Инклузија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и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околина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учење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”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предвидува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4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дневна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обука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воспитувачите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и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стручниот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proofErr w:type="gramStart"/>
      <w:r w:rsidRPr="00CA56C0">
        <w:rPr>
          <w:rFonts w:ascii="StobiSerif Regular" w:eastAsia="StobiSerif Regular" w:hAnsi="StobiSerif Regular" w:cs="StobiSerif Regular"/>
          <w:bCs/>
        </w:rPr>
        <w:t>кадар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</w:t>
      </w:r>
      <w:proofErr w:type="spellEnd"/>
      <w:proofErr w:type="gram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градинките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основна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цел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едукација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кадарот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за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најдобриот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пристап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кон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децата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попреченост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или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невро-развојни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нарушувања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токму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околината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која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наоѓаат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.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Обуката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е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тек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и </w:t>
      </w:r>
      <w:proofErr w:type="spellStart"/>
      <w:proofErr w:type="gramStart"/>
      <w:r w:rsidRPr="00CA56C0">
        <w:rPr>
          <w:rFonts w:ascii="StobiSerif Regular" w:eastAsia="StobiSerif Regular" w:hAnsi="StobiSerif Regular" w:cs="StobiSerif Regular"/>
          <w:bCs/>
        </w:rPr>
        <w:t>досега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ја</w:t>
      </w:r>
      <w:proofErr w:type="spellEnd"/>
      <w:proofErr w:type="gram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имаат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поминато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околу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1,000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воспитувачи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стручни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кадри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на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 xml:space="preserve"> </w:t>
      </w:r>
      <w:proofErr w:type="spellStart"/>
      <w:r w:rsidRPr="00CA56C0">
        <w:rPr>
          <w:rFonts w:ascii="StobiSerif Regular" w:eastAsia="StobiSerif Regular" w:hAnsi="StobiSerif Regular" w:cs="StobiSerif Regular"/>
          <w:bCs/>
        </w:rPr>
        <w:t>градинките</w:t>
      </w:r>
      <w:proofErr w:type="spellEnd"/>
      <w:r w:rsidRPr="00CA56C0">
        <w:rPr>
          <w:rFonts w:ascii="StobiSerif Regular" w:eastAsia="StobiSerif Regular" w:hAnsi="StobiSerif Regular" w:cs="StobiSerif Regular"/>
          <w:bCs/>
        </w:rPr>
        <w:t>.</w:t>
      </w:r>
    </w:p>
    <w:p w14:paraId="492696E2" w14:textId="77777777" w:rsidR="0092078B" w:rsidRPr="00CA56C0" w:rsidRDefault="0092078B" w:rsidP="0092078B">
      <w:pPr>
        <w:pStyle w:val="Normal1"/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II. Во рамките на Проектот не се делат плати</w:t>
      </w:r>
    </w:p>
    <w:p w14:paraId="68774A3E" w14:textId="77777777" w:rsidR="0092078B" w:rsidRPr="00CA56C0" w:rsidRDefault="0092078B" w:rsidP="0092078B">
      <w:pPr>
        <w:pStyle w:val="Normal1"/>
        <w:suppressAutoHyphens w:val="0"/>
        <w:snapToGrid w:val="0"/>
        <w:spacing w:after="0" w:line="240" w:lineRule="auto"/>
        <w:jc w:val="both"/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</w:pPr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 xml:space="preserve">III. Елизабета Куновска – Проектен менаџер, Шевал </w:t>
      </w:r>
      <w:proofErr w:type="spellStart"/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>Нуредин</w:t>
      </w:r>
      <w:proofErr w:type="spellEnd"/>
      <w:r w:rsidRPr="00CA56C0">
        <w:rPr>
          <w:rFonts w:ascii="StobiSerif Regular" w:eastAsia="StobiSerif Regular" w:hAnsi="StobiSerif Regular" w:cs="StobiSerif Regular"/>
          <w:bCs/>
          <w:color w:val="auto"/>
          <w:sz w:val="22"/>
          <w:szCs w:val="22"/>
        </w:rPr>
        <w:t xml:space="preserve"> - Офицер за финансии </w:t>
      </w:r>
    </w:p>
    <w:p w14:paraId="3E37554D" w14:textId="6BD030BB" w:rsidR="0092078B" w:rsidRDefault="0092078B" w:rsidP="0092078B">
      <w:pPr>
        <w:rPr>
          <w:lang w:val="mk-MK"/>
        </w:rPr>
      </w:pPr>
      <w:bookmarkStart w:id="0" w:name="_GoBack"/>
      <w:bookmarkEnd w:id="0"/>
    </w:p>
    <w:sectPr w:rsidR="00920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253B"/>
    <w:multiLevelType w:val="hybridMultilevel"/>
    <w:tmpl w:val="24C62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6738A"/>
    <w:multiLevelType w:val="hybridMultilevel"/>
    <w:tmpl w:val="B8622CFA"/>
    <w:lvl w:ilvl="0" w:tplc="59407AD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C6"/>
    <w:rsid w:val="003D12C6"/>
    <w:rsid w:val="005C1E65"/>
    <w:rsid w:val="005D2BF0"/>
    <w:rsid w:val="00783A6A"/>
    <w:rsid w:val="0092078B"/>
    <w:rsid w:val="0099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9EB1"/>
  <w15:chartTrackingRefBased/>
  <w15:docId w15:val="{4F5CC9B8-AD94-474D-B5EC-A6D2B852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_Paragraph,Multilevel para_II,List Paragraph (numbered (a)),Normal 2,Colorful List - Accent 12,Main numbered paragraph,References,Liste 1,Numbered List Paragraph,ReferencesCxSpLast,lp1,1.1.1_List Paragraph,Bullet1,Ha"/>
    <w:basedOn w:val="Normal"/>
    <w:uiPriority w:val="34"/>
    <w:qFormat/>
    <w:rsid w:val="0092078B"/>
    <w:pPr>
      <w:suppressAutoHyphens/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val="mk-MK"/>
    </w:rPr>
  </w:style>
  <w:style w:type="paragraph" w:customStyle="1" w:styleId="Normal1">
    <w:name w:val="Normal1"/>
    <w:qFormat/>
    <w:rsid w:val="0092078B"/>
    <w:pPr>
      <w:widowControl w:val="0"/>
      <w:suppressAutoHyphens/>
      <w:spacing w:after="200" w:line="276" w:lineRule="auto"/>
    </w:pPr>
    <w:rPr>
      <w:rFonts w:ascii="Arial" w:eastAsia="Arial Unicode MS" w:hAnsi="Arial" w:cs="Arial"/>
      <w:color w:val="00000A"/>
      <w:sz w:val="24"/>
      <w:szCs w:val="24"/>
      <w:lang w:val="mk-M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2025-02-19T08:41:00Z</dcterms:created>
  <dcterms:modified xsi:type="dcterms:W3CDTF">2025-02-19T08:49:00Z</dcterms:modified>
</cp:coreProperties>
</file>